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3EE0" w14:textId="77777777" w:rsidR="00DB071D" w:rsidRPr="004F4A2F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 xml:space="preserve">OPĆINA RAŽANAC </w:t>
      </w:r>
    </w:p>
    <w:p w14:paraId="14BFF8EF" w14:textId="77777777" w:rsidR="00DB071D" w:rsidRPr="004F4A2F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>Ražanac XVII 61</w:t>
      </w:r>
    </w:p>
    <w:p w14:paraId="23BDAF55" w14:textId="77777777" w:rsidR="00DB071D" w:rsidRPr="004F4A2F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>23248 Ražanac</w:t>
      </w:r>
    </w:p>
    <w:p w14:paraId="3EFC26CC" w14:textId="77777777" w:rsidR="00DB071D" w:rsidRPr="004F4A2F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>MB: 02705206</w:t>
      </w:r>
    </w:p>
    <w:p w14:paraId="6A692E8F" w14:textId="77777777" w:rsidR="00DB071D" w:rsidRPr="004F4A2F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>OIB: 08842442553</w:t>
      </w:r>
    </w:p>
    <w:p w14:paraId="602C049B" w14:textId="77777777" w:rsidR="00DB071D" w:rsidRPr="004F4A2F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>RKP: 35167</w:t>
      </w:r>
    </w:p>
    <w:p w14:paraId="13B9944A" w14:textId="77777777" w:rsidR="00DB071D" w:rsidRPr="004F4A2F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>Razina: 22</w:t>
      </w:r>
    </w:p>
    <w:p w14:paraId="517A9686" w14:textId="18BBA218" w:rsidR="00DB071D" w:rsidRPr="004F4A2F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>Ozna</w:t>
      </w:r>
      <w:r w:rsidR="000D0852">
        <w:rPr>
          <w:rFonts w:ascii="Times New Roman" w:hAnsi="Times New Roman" w:cs="Times New Roman"/>
          <w:sz w:val="24"/>
          <w:szCs w:val="24"/>
        </w:rPr>
        <w:t>k</w:t>
      </w:r>
      <w:r w:rsidRPr="004F4A2F">
        <w:rPr>
          <w:rFonts w:ascii="Times New Roman" w:hAnsi="Times New Roman" w:cs="Times New Roman"/>
          <w:sz w:val="24"/>
          <w:szCs w:val="24"/>
        </w:rPr>
        <w:t xml:space="preserve">a razdoblja: </w:t>
      </w:r>
      <w:r w:rsidR="008A5825">
        <w:rPr>
          <w:rFonts w:ascii="Times New Roman" w:hAnsi="Times New Roman" w:cs="Times New Roman"/>
          <w:sz w:val="24"/>
          <w:szCs w:val="24"/>
        </w:rPr>
        <w:t>2025-0</w:t>
      </w:r>
      <w:r w:rsidR="0092163B">
        <w:rPr>
          <w:rFonts w:ascii="Times New Roman" w:hAnsi="Times New Roman" w:cs="Times New Roman"/>
          <w:sz w:val="24"/>
          <w:szCs w:val="24"/>
        </w:rPr>
        <w:t>9</w:t>
      </w:r>
    </w:p>
    <w:p w14:paraId="66ED82FF" w14:textId="77777777" w:rsidR="00DB071D" w:rsidRPr="004F4A2F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>Šifra djelatnosti: 8411</w:t>
      </w:r>
    </w:p>
    <w:p w14:paraId="40C75531" w14:textId="77777777" w:rsidR="00DB071D" w:rsidRPr="004F4A2F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>Šifra općine: 371</w:t>
      </w:r>
    </w:p>
    <w:p w14:paraId="3A1C0980" w14:textId="77777777" w:rsidR="00DB071D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AF3D0" w14:textId="77777777" w:rsidR="00F9253A" w:rsidRDefault="00F9253A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8B4D1" w14:textId="77777777" w:rsidR="00F9253A" w:rsidRPr="004F4A2F" w:rsidRDefault="00F9253A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53F07" w14:textId="77777777" w:rsidR="00DB071D" w:rsidRPr="004F4A2F" w:rsidRDefault="00DB071D" w:rsidP="00DB0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A2F">
        <w:rPr>
          <w:rFonts w:ascii="Times New Roman" w:hAnsi="Times New Roman" w:cs="Times New Roman"/>
          <w:b/>
          <w:sz w:val="24"/>
          <w:szCs w:val="24"/>
        </w:rPr>
        <w:t xml:space="preserve">BILJEŠKE UZ </w:t>
      </w:r>
      <w:r>
        <w:rPr>
          <w:rFonts w:ascii="Times New Roman" w:hAnsi="Times New Roman" w:cs="Times New Roman"/>
          <w:b/>
          <w:sz w:val="24"/>
          <w:szCs w:val="24"/>
        </w:rPr>
        <w:t xml:space="preserve">FINANCIJSKA IZVJEŠĆA </w:t>
      </w:r>
      <w:r w:rsidRPr="004F4A2F">
        <w:rPr>
          <w:rFonts w:ascii="Times New Roman" w:hAnsi="Times New Roman" w:cs="Times New Roman"/>
          <w:b/>
          <w:sz w:val="24"/>
          <w:szCs w:val="24"/>
        </w:rPr>
        <w:t>ZA RAZDOBLJE</w:t>
      </w:r>
    </w:p>
    <w:p w14:paraId="3E6FCCFB" w14:textId="466E70C5" w:rsidR="00DB071D" w:rsidRDefault="00DB071D" w:rsidP="00DB0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A2F">
        <w:rPr>
          <w:rFonts w:ascii="Times New Roman" w:hAnsi="Times New Roman" w:cs="Times New Roman"/>
          <w:b/>
          <w:sz w:val="24"/>
          <w:szCs w:val="24"/>
        </w:rPr>
        <w:t>OD 01.01.202</w:t>
      </w:r>
      <w:r w:rsidR="008A5825">
        <w:rPr>
          <w:rFonts w:ascii="Times New Roman" w:hAnsi="Times New Roman" w:cs="Times New Roman"/>
          <w:b/>
          <w:sz w:val="24"/>
          <w:szCs w:val="24"/>
        </w:rPr>
        <w:t>5</w:t>
      </w:r>
      <w:r w:rsidRPr="004F4A2F">
        <w:rPr>
          <w:rFonts w:ascii="Times New Roman" w:hAnsi="Times New Roman" w:cs="Times New Roman"/>
          <w:b/>
          <w:sz w:val="24"/>
          <w:szCs w:val="24"/>
        </w:rPr>
        <w:t>. – 3</w:t>
      </w:r>
      <w:r w:rsidR="0092163B">
        <w:rPr>
          <w:rFonts w:ascii="Times New Roman" w:hAnsi="Times New Roman" w:cs="Times New Roman"/>
          <w:b/>
          <w:sz w:val="24"/>
          <w:szCs w:val="24"/>
        </w:rPr>
        <w:t>0</w:t>
      </w:r>
      <w:r w:rsidRPr="004F4A2F">
        <w:rPr>
          <w:rFonts w:ascii="Times New Roman" w:hAnsi="Times New Roman" w:cs="Times New Roman"/>
          <w:b/>
          <w:sz w:val="24"/>
          <w:szCs w:val="24"/>
        </w:rPr>
        <w:t>.</w:t>
      </w:r>
      <w:r w:rsidR="0092163B">
        <w:rPr>
          <w:rFonts w:ascii="Times New Roman" w:hAnsi="Times New Roman" w:cs="Times New Roman"/>
          <w:b/>
          <w:sz w:val="24"/>
          <w:szCs w:val="24"/>
        </w:rPr>
        <w:t>09</w:t>
      </w:r>
      <w:r w:rsidRPr="004F4A2F">
        <w:rPr>
          <w:rFonts w:ascii="Times New Roman" w:hAnsi="Times New Roman" w:cs="Times New Roman"/>
          <w:b/>
          <w:sz w:val="24"/>
          <w:szCs w:val="24"/>
        </w:rPr>
        <w:t>.202</w:t>
      </w:r>
      <w:r w:rsidR="008A5825">
        <w:rPr>
          <w:rFonts w:ascii="Times New Roman" w:hAnsi="Times New Roman" w:cs="Times New Roman"/>
          <w:b/>
          <w:sz w:val="24"/>
          <w:szCs w:val="24"/>
        </w:rPr>
        <w:t>5</w:t>
      </w:r>
      <w:r w:rsidRPr="004F4A2F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C6368AA" w14:textId="77777777" w:rsidR="00F9253A" w:rsidRDefault="00F9253A" w:rsidP="00DB0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178010" w14:textId="77777777" w:rsidR="00DB071D" w:rsidRDefault="00DB071D" w:rsidP="00DB0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95C9CD" w14:textId="77777777" w:rsidR="0005356B" w:rsidRDefault="0005356B" w:rsidP="00DB0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596C95" w14:textId="77777777" w:rsidR="0005356B" w:rsidRDefault="0005356B" w:rsidP="00DB0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BF44D" w14:textId="77777777" w:rsidR="00DB071D" w:rsidRDefault="00DB071D" w:rsidP="00DB071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1. </w:t>
      </w:r>
      <w:r w:rsidRPr="00E10DFC">
        <w:rPr>
          <w:rFonts w:ascii="Times New Roman" w:hAnsi="Times New Roman" w:cs="Times New Roman"/>
          <w:b/>
          <w:i/>
          <w:sz w:val="24"/>
          <w:szCs w:val="24"/>
          <w:u w:val="single"/>
        </w:rPr>
        <w:t>Bilješke uz Izvještaj o prihodima i rashodima, primicima i izdacima (PR-RAS)</w:t>
      </w:r>
    </w:p>
    <w:p w14:paraId="6A580EED" w14:textId="508A3E60" w:rsidR="00DB071D" w:rsidRDefault="00DB071D" w:rsidP="00DB07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40A5">
        <w:rPr>
          <w:rFonts w:ascii="Times New Roman" w:hAnsi="Times New Roman" w:cs="Times New Roman"/>
          <w:b/>
          <w:sz w:val="24"/>
          <w:szCs w:val="24"/>
        </w:rPr>
        <w:t>P</w:t>
      </w:r>
      <w:r w:rsidR="00BC3257">
        <w:rPr>
          <w:rFonts w:ascii="Times New Roman" w:hAnsi="Times New Roman" w:cs="Times New Roman"/>
          <w:b/>
          <w:sz w:val="24"/>
          <w:szCs w:val="24"/>
        </w:rPr>
        <w:t>RIHODI POSLOVANJA</w:t>
      </w:r>
    </w:p>
    <w:p w14:paraId="4F419C19" w14:textId="17D965D4" w:rsidR="00DB071D" w:rsidRPr="000B1876" w:rsidRDefault="00DB071D" w:rsidP="00DB07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1876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poslovanja</w:t>
      </w:r>
      <w:r w:rsidRPr="00B415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ostvareni su u iznosu  </w:t>
      </w:r>
      <w:r w:rsidR="001457EE">
        <w:rPr>
          <w:rFonts w:ascii="Times New Roman" w:eastAsia="Times New Roman" w:hAnsi="Times New Roman" w:cs="Times New Roman"/>
          <w:sz w:val="24"/>
          <w:szCs w:val="24"/>
          <w:lang w:eastAsia="hr-HR"/>
        </w:rPr>
        <w:t>2.472.853,03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za </w:t>
      </w:r>
      <w:r w:rsidR="001457EE">
        <w:rPr>
          <w:rFonts w:ascii="Times New Roman" w:eastAsia="Times New Roman" w:hAnsi="Times New Roman" w:cs="Times New Roman"/>
          <w:sz w:val="24"/>
          <w:szCs w:val="24"/>
          <w:lang w:eastAsia="hr-HR"/>
        </w:rPr>
        <w:t>8,20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više u odnosu na isto razdoblje 202</w:t>
      </w:r>
      <w:r w:rsidR="008A582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 Struktura prihoda</w:t>
      </w:r>
      <w:r w:rsidR="00383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slijedeća</w:t>
      </w:r>
      <w:r w:rsidRPr="00B4153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30E4A8B" w14:textId="77777777" w:rsidR="00DB071D" w:rsidRDefault="00DB071D" w:rsidP="00DB0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6F6565" w14:textId="1A0E6F28" w:rsidR="00DB071D" w:rsidRDefault="00DB071D" w:rsidP="00DB071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07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Prihodi od poreza (šifra 61)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ostvareni su u iznosu od </w:t>
      </w:r>
      <w:r w:rsidR="001457EE">
        <w:rPr>
          <w:rFonts w:ascii="Times New Roman" w:eastAsia="Times New Roman" w:hAnsi="Times New Roman" w:cs="Times New Roman"/>
          <w:sz w:val="24"/>
          <w:szCs w:val="24"/>
          <w:lang w:eastAsia="hr-HR"/>
        </w:rPr>
        <w:t>1.391.368,52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za </w:t>
      </w:r>
      <w:r w:rsidR="001457EE">
        <w:rPr>
          <w:rFonts w:ascii="Times New Roman" w:eastAsia="Times New Roman" w:hAnsi="Times New Roman" w:cs="Times New Roman"/>
          <w:sz w:val="24"/>
          <w:szCs w:val="24"/>
          <w:lang w:eastAsia="hr-HR"/>
        </w:rPr>
        <w:t>7,50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više u odnosu na isto razdoblje 202</w:t>
      </w:r>
      <w:r w:rsidR="008A582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 Prihodi od poreza ostvareni su kako slijedi:</w:t>
      </w:r>
    </w:p>
    <w:p w14:paraId="300D4D30" w14:textId="75D982C2" w:rsidR="00DB071D" w:rsidRDefault="00DB071D" w:rsidP="00DB071D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071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Porez na dohodak</w:t>
      </w:r>
      <w:r w:rsidRPr="00DB0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692B61">
        <w:rPr>
          <w:rFonts w:ascii="Times New Roman" w:eastAsia="Times New Roman" w:hAnsi="Times New Roman" w:cs="Times New Roman"/>
          <w:sz w:val="24"/>
          <w:szCs w:val="24"/>
          <w:lang w:eastAsia="hr-HR"/>
        </w:rPr>
        <w:t>1.009.570,05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Pr="00DB071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69CDB06" w14:textId="26D52EE8" w:rsidR="00DB071D" w:rsidRDefault="00DB071D" w:rsidP="00DB071D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Porez na imovinu </w:t>
      </w:r>
      <w:r w:rsidRPr="00DB071D">
        <w:rPr>
          <w:rFonts w:ascii="Times New Roman" w:eastAsia="Times New Roman" w:hAnsi="Times New Roman" w:cs="Times New Roman"/>
          <w:sz w:val="24"/>
          <w:szCs w:val="24"/>
          <w:lang w:eastAsia="hr-HR"/>
        </w:rPr>
        <w:t>u iznosu od</w:t>
      </w:r>
      <w:r w:rsidR="000D08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92B61">
        <w:rPr>
          <w:rFonts w:ascii="Times New Roman" w:eastAsia="Times New Roman" w:hAnsi="Times New Roman" w:cs="Times New Roman"/>
          <w:sz w:val="24"/>
          <w:szCs w:val="24"/>
          <w:lang w:eastAsia="hr-HR"/>
        </w:rPr>
        <w:t>362.049,45</w:t>
      </w:r>
      <w:r w:rsidR="000D08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Pr="00DB071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17DD20F" w14:textId="698B2D76" w:rsidR="00DB071D" w:rsidRDefault="00DB071D" w:rsidP="00DB071D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Porez na robu i usluge </w:t>
      </w:r>
      <w:r w:rsidRPr="00DB0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692B61">
        <w:rPr>
          <w:rFonts w:ascii="Times New Roman" w:eastAsia="Times New Roman" w:hAnsi="Times New Roman" w:cs="Times New Roman"/>
          <w:sz w:val="24"/>
          <w:szCs w:val="24"/>
          <w:lang w:eastAsia="hr-HR"/>
        </w:rPr>
        <w:t>19.749,02</w:t>
      </w:r>
      <w:r w:rsidR="000D08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="00B004A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2385D3A" w14:textId="77777777" w:rsidR="00B004AE" w:rsidRDefault="00B004AE" w:rsidP="00B004AE">
      <w:pPr>
        <w:pStyle w:val="Odlomakpopis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5DBE0A" w14:textId="1BA503CB" w:rsidR="00B004AE" w:rsidRPr="00B004AE" w:rsidRDefault="00B004AE" w:rsidP="00B00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Najznačajnije povećanje bilježi se kod prihoda od poreza na dohodak što je izravna posljedica promjene porezne politike te pora</w:t>
      </w:r>
      <w:r w:rsidR="00692B61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 plaća u odnosu na početak 2024. godine.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rihod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poreza na imovinu, točnije povremenih poreza na imovinu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manji za </w:t>
      </w:r>
      <w:r w:rsidR="00692B61">
        <w:rPr>
          <w:rFonts w:ascii="Times New Roman" w:eastAsia="Times New Roman" w:hAnsi="Times New Roman" w:cs="Times New Roman"/>
          <w:sz w:val="24"/>
          <w:szCs w:val="24"/>
          <w:lang w:eastAsia="hr-HR"/>
        </w:rPr>
        <w:t>30,40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što je uglavnom rezultat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manjeg ostvarenja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poreza na prometa nekretninama</w:t>
      </w:r>
      <w:r w:rsidR="00692B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manjeg ostvarenja stalnih poreza na imovinu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odnosu na prethodnu godinu.</w:t>
      </w:r>
      <w:r w:rsidR="00692B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Razlog manjeg ostvarenja stalnih poreza na imovinu je kasnije slanje rješenja i posljedično manja naplata u istom periodu.  </w:t>
      </w:r>
    </w:p>
    <w:p w14:paraId="0B416EF4" w14:textId="253FD014" w:rsidR="00DB071D" w:rsidRPr="00DB071D" w:rsidRDefault="00DB071D" w:rsidP="00DB0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4E79B4" w14:textId="7481B3B1" w:rsidR="00DB071D" w:rsidRDefault="00DB071D" w:rsidP="00DB071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03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Pomoći iz inozemstva i od subjekata unutar općeg proračuna (šifra 63)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ostvarene su u iznosu od </w:t>
      </w:r>
      <w:r w:rsidR="00692B61">
        <w:rPr>
          <w:rFonts w:ascii="Times New Roman" w:eastAsia="Times New Roman" w:hAnsi="Times New Roman" w:cs="Times New Roman"/>
          <w:sz w:val="24"/>
          <w:szCs w:val="24"/>
          <w:lang w:eastAsia="hr-HR"/>
        </w:rPr>
        <w:t>604.274,48</w:t>
      </w:r>
      <w:r w:rsidR="000D08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za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60,90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 više u odnosu na isto razdoblje prethodne godine. Ova vrsta prihoda ostvarena je kako slijedi:</w:t>
      </w:r>
    </w:p>
    <w:p w14:paraId="414B0D78" w14:textId="35869BFA" w:rsidR="00DB071D" w:rsidRDefault="00DB071D" w:rsidP="00DB071D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24A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Pomoći proračunu iz drugih proračuna </w:t>
      </w:r>
      <w:r w:rsidR="002124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C73630">
        <w:rPr>
          <w:rFonts w:ascii="Times New Roman" w:eastAsia="Times New Roman" w:hAnsi="Times New Roman" w:cs="Times New Roman"/>
          <w:sz w:val="24"/>
          <w:szCs w:val="24"/>
          <w:lang w:eastAsia="hr-HR"/>
        </w:rPr>
        <w:t>345.540,93</w:t>
      </w:r>
      <w:r w:rsidR="008A58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="002124A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B497AEC" w14:textId="5F47924F" w:rsidR="002124AA" w:rsidRDefault="002124AA" w:rsidP="002124A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Pomoći temeljem prijenosa EU sredstava </w:t>
      </w:r>
      <w:r w:rsidRPr="002124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C73630">
        <w:rPr>
          <w:rFonts w:ascii="Times New Roman" w:eastAsia="Times New Roman" w:hAnsi="Times New Roman" w:cs="Times New Roman"/>
          <w:sz w:val="24"/>
          <w:szCs w:val="24"/>
          <w:lang w:eastAsia="hr-HR"/>
        </w:rPr>
        <w:t>258.733,55</w:t>
      </w:r>
      <w:r w:rsidR="000D08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Pr="002124A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BEC3C97" w14:textId="77777777" w:rsidR="00B004AE" w:rsidRDefault="00B004AE" w:rsidP="00B00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CFF3CD" w14:textId="173D9712" w:rsidR="00C73630" w:rsidRDefault="00C73630" w:rsidP="00B00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pomoći ostvareni su za 27,90 % više u odnosu na isto razdoblje u 2024. godini. Najznačajnije povećanje bilježi se kod pomoći proračunu i izvanproračunskim korisnicima iz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drugih proračuna, i to za 47,60 %. Pomoći temeljem prijenosa EU sredstava ostvarene su veće za 8,60 % u odnosu na isto razdoblje u 2024. godini.</w:t>
      </w:r>
    </w:p>
    <w:p w14:paraId="1C5D6892" w14:textId="77777777" w:rsidR="00C73630" w:rsidRDefault="00C73630" w:rsidP="00B00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1C625E" w14:textId="6749BF57" w:rsidR="002124AA" w:rsidRDefault="002124AA" w:rsidP="002124A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C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Prihodi od imovine (šifra 64)</w:t>
      </w:r>
      <w:r w:rsidRPr="00C97C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ostvareni su iznosu od </w:t>
      </w:r>
      <w:r w:rsidR="00C73630" w:rsidRPr="00C97C8E">
        <w:rPr>
          <w:rFonts w:ascii="Times New Roman" w:eastAsia="Times New Roman" w:hAnsi="Times New Roman" w:cs="Times New Roman"/>
          <w:sz w:val="24"/>
          <w:szCs w:val="24"/>
          <w:lang w:eastAsia="hr-HR"/>
        </w:rPr>
        <w:t>46.576,49</w:t>
      </w:r>
      <w:r w:rsidR="00311CB3" w:rsidRPr="00C97C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Pr="00C97C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</w:t>
      </w:r>
      <w:r w:rsidR="00C97C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smanjenje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C97C8E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="00311C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,40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 u odnosu na isto razdoblje 202</w:t>
      </w:r>
      <w:r w:rsidR="00B004A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 Prihodi od imovine ostvareni su kako slijedi:</w:t>
      </w:r>
    </w:p>
    <w:p w14:paraId="274499C5" w14:textId="42D57EAD" w:rsidR="002124AA" w:rsidRDefault="002124AA" w:rsidP="002124A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24A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Prihodi od financijske imovine</w:t>
      </w:r>
      <w:r w:rsidRPr="002124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C97C8E">
        <w:rPr>
          <w:rFonts w:ascii="Times New Roman" w:eastAsia="Times New Roman" w:hAnsi="Times New Roman" w:cs="Times New Roman"/>
          <w:sz w:val="24"/>
          <w:szCs w:val="24"/>
          <w:lang w:eastAsia="hr-HR"/>
        </w:rPr>
        <w:t>6,66</w:t>
      </w:r>
      <w:r w:rsidR="00311C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Pr="002124A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1D07A58" w14:textId="502826DA" w:rsidR="002124AA" w:rsidRDefault="002124AA" w:rsidP="002124A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24A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Prihodi od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ne</w:t>
      </w:r>
      <w:r w:rsidRPr="002124A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financijske imovine</w:t>
      </w:r>
      <w:r w:rsidRPr="002124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C97C8E">
        <w:rPr>
          <w:rFonts w:ascii="Times New Roman" w:eastAsia="Times New Roman" w:hAnsi="Times New Roman" w:cs="Times New Roman"/>
          <w:sz w:val="24"/>
          <w:szCs w:val="24"/>
          <w:lang w:eastAsia="hr-HR"/>
        </w:rPr>
        <w:t>46.576,49</w:t>
      </w:r>
      <w:r w:rsidR="00311C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5DD11BD" w14:textId="77777777" w:rsidR="00002626" w:rsidRDefault="00002626" w:rsidP="0000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88C1B3" w14:textId="532784A8" w:rsidR="00002626" w:rsidRPr="00002626" w:rsidRDefault="00C97C8E" w:rsidP="0000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Razlog manjeg ostvarenja prihoda od imovine je lošija naplata prihoda od zakupa javnih površina i dozvola na pomorskom dobru.  </w:t>
      </w:r>
    </w:p>
    <w:p w14:paraId="4C0CFCD9" w14:textId="610E0486" w:rsidR="002124AA" w:rsidRDefault="002124AA" w:rsidP="002124AA">
      <w:pPr>
        <w:pStyle w:val="Odlomakpopis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97FEE8" w14:textId="242EB2BC" w:rsidR="002124AA" w:rsidRDefault="002124AA" w:rsidP="002124A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21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Prihodi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upravnih i administrativnih pristojbi, pristojbi po</w:t>
      </w:r>
      <w:r w:rsidR="000D08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posebnim propisima  i naknada </w:t>
      </w:r>
      <w:r w:rsidRPr="002021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(šifra 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2021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02182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su u iznosu od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97C8E">
        <w:rPr>
          <w:rFonts w:ascii="Times New Roman" w:eastAsia="Times New Roman" w:hAnsi="Times New Roman" w:cs="Times New Roman"/>
          <w:sz w:val="24"/>
          <w:szCs w:val="24"/>
          <w:lang w:eastAsia="hr-HR"/>
        </w:rPr>
        <w:t>413.734,53</w:t>
      </w:r>
      <w:r w:rsidR="00311C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Pr="002021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za </w:t>
      </w:r>
      <w:r w:rsidR="00C97C8E">
        <w:rPr>
          <w:rFonts w:ascii="Times New Roman" w:eastAsia="Times New Roman" w:hAnsi="Times New Roman" w:cs="Times New Roman"/>
          <w:sz w:val="24"/>
          <w:szCs w:val="24"/>
          <w:lang w:eastAsia="hr-HR"/>
        </w:rPr>
        <w:t>6,30</w:t>
      </w:r>
      <w:r w:rsidRPr="002021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</w:t>
      </w:r>
      <w:r w:rsidR="00002626">
        <w:rPr>
          <w:rFonts w:ascii="Times New Roman" w:eastAsia="Times New Roman" w:hAnsi="Times New Roman" w:cs="Times New Roman"/>
          <w:sz w:val="24"/>
          <w:szCs w:val="24"/>
          <w:lang w:eastAsia="hr-HR"/>
        </w:rPr>
        <w:t>manje</w:t>
      </w:r>
      <w:r w:rsidRPr="002021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isto razdoblje 202</w:t>
      </w:r>
      <w:r w:rsidR="0000262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0218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Ova vrsta prihoda ostvarena je kako slijedi:</w:t>
      </w:r>
    </w:p>
    <w:p w14:paraId="36F7A966" w14:textId="77777777" w:rsidR="00311CB3" w:rsidRDefault="00311CB3" w:rsidP="00311CB3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187C06" w14:textId="6EC6089C" w:rsidR="002124AA" w:rsidRDefault="002124AA" w:rsidP="002124A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124A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Upravne i administrativne pristojbe</w:t>
      </w:r>
      <w:r w:rsidRPr="002124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od </w:t>
      </w:r>
      <w:r w:rsidR="00C97C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36.113,44</w:t>
      </w:r>
      <w:r w:rsidR="00311C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</w:t>
      </w:r>
      <w:r w:rsidRPr="002124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748EA4B2" w14:textId="563961B0" w:rsidR="002124AA" w:rsidRPr="002124AA" w:rsidRDefault="002124AA" w:rsidP="002124A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Prihodi po posebnim propisima </w:t>
      </w:r>
      <w:r w:rsidRPr="002124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C97C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1.729,37</w:t>
      </w:r>
      <w:r w:rsidR="000D08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311C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,</w:t>
      </w:r>
    </w:p>
    <w:p w14:paraId="52830B6F" w14:textId="5755AF5C" w:rsidR="002124AA" w:rsidRDefault="002124AA" w:rsidP="002124A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Ko</w:t>
      </w:r>
      <w:r w:rsidR="000D08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unalni doprinosi i naknade </w:t>
      </w:r>
      <w:r w:rsidRPr="00BC32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C97C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375.891,72</w:t>
      </w:r>
      <w:r w:rsidR="000D08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B42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r w:rsidR="00BC32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36B6E9F5" w14:textId="77777777" w:rsidR="00002626" w:rsidRDefault="00002626" w:rsidP="000026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E9DAFC9" w14:textId="19DFBEE3" w:rsidR="00BC3257" w:rsidRDefault="00FB4277" w:rsidP="00D753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Prihodi od u</w:t>
      </w:r>
      <w:r w:rsidR="001F720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pravne i administrativn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ih</w:t>
      </w:r>
      <w:r w:rsidR="001F720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pristojb</w:t>
      </w:r>
      <w:r w:rsidR="00D753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="001F720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ostvaren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="001F720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su </w:t>
      </w:r>
      <w:r w:rsidR="00D753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sličnom iznosu kao i prethodne godine u istom razdoblju. Razlog neznatno manjeg ostvarenja u odnosu na prethodno razdoblje je manji broj izdanih rješenja za komunalni doprinos i posljedično s time manji prihodi.  </w:t>
      </w:r>
    </w:p>
    <w:p w14:paraId="2C4E37D6" w14:textId="77777777" w:rsidR="00D7535F" w:rsidRPr="00D7535F" w:rsidRDefault="00D7535F" w:rsidP="00D753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3CC7406" w14:textId="7543BF11" w:rsidR="00E15ED1" w:rsidRDefault="00BC3257" w:rsidP="006F46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B42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 od prodaje proizvoda i roba te pruženih usluga, prihod od donacija te povrati po protestiranim jamstvima (šifra 66)</w:t>
      </w:r>
      <w:r w:rsidRPr="00FB42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ostvareni su u iznosu od </w:t>
      </w:r>
      <w:r w:rsidR="00D753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10.888,51 </w:t>
      </w:r>
      <w:r w:rsidR="00FB42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EUR što je za </w:t>
      </w:r>
      <w:r w:rsidR="00D753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31,40</w:t>
      </w:r>
      <w:r w:rsidR="00FB42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više u odnosu na isto razdoblje 2024. godine. </w:t>
      </w:r>
      <w:r w:rsidR="00E15ED1" w:rsidRPr="00FB42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326F05CF" w14:textId="77777777" w:rsidR="00FB4277" w:rsidRPr="00FB4277" w:rsidRDefault="00FB4277" w:rsidP="00FB42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799F894" w14:textId="4522D260" w:rsidR="00E15ED1" w:rsidRDefault="00BC3257" w:rsidP="00BC325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C32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Kazne, upravne mjere i ostali prihodi (šifra 68)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ostvaren</w:t>
      </w:r>
      <w:r w:rsidR="00D753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su u iznosu od </w:t>
      </w:r>
      <w:r w:rsidR="00D753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6.003,84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B42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EUR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što predstavlja </w:t>
      </w:r>
      <w:r w:rsidR="00D753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smanjenje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  </w:t>
      </w:r>
      <w:r w:rsidR="00D753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53,80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u odnosu na isto razdoblje 202</w:t>
      </w:r>
      <w:r w:rsidR="00E15E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godine.</w:t>
      </w:r>
    </w:p>
    <w:p w14:paraId="1D8C60D8" w14:textId="77777777" w:rsidR="00FB4277" w:rsidRDefault="00FB4277" w:rsidP="00FB42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A9101ED" w14:textId="7589D417" w:rsidR="00B54FBF" w:rsidRPr="00D7535F" w:rsidRDefault="00D7535F" w:rsidP="00D7535F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Manje ostvarenje ove vrsta prihoda uglavnom je posljedica značajno manjeg ostvarenja ostalih prihoda. Ostali razredi su ostvareni također u manjim iznosima u odnosu na isto razdoblje prethodne godine. </w:t>
      </w:r>
    </w:p>
    <w:p w14:paraId="742D5C0F" w14:textId="1EB051E6" w:rsidR="00B54FBF" w:rsidRPr="006B40A5" w:rsidRDefault="00B54FBF" w:rsidP="00B54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B40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ASHODI POSLOVANJA</w:t>
      </w:r>
    </w:p>
    <w:p w14:paraId="0B31ABA8" w14:textId="0BB755BD" w:rsidR="00B54FBF" w:rsidRDefault="00B54FBF" w:rsidP="00B54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poslovanja </w:t>
      </w:r>
      <w:r w:rsidR="00E15E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izvršeni 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u iznosu od </w:t>
      </w:r>
      <w:r w:rsidR="00D7535F">
        <w:rPr>
          <w:rFonts w:ascii="Times New Roman" w:eastAsia="Times New Roman" w:hAnsi="Times New Roman" w:cs="Times New Roman"/>
          <w:sz w:val="24"/>
          <w:szCs w:val="24"/>
          <w:lang w:eastAsia="hr-HR"/>
        </w:rPr>
        <w:t>1.886.747,93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D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 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je za </w:t>
      </w:r>
      <w:r w:rsidR="00D7535F">
        <w:rPr>
          <w:rFonts w:ascii="Times New Roman" w:eastAsia="Times New Roman" w:hAnsi="Times New Roman" w:cs="Times New Roman"/>
          <w:sz w:val="24"/>
          <w:szCs w:val="24"/>
          <w:lang w:eastAsia="hr-HR"/>
        </w:rPr>
        <w:t>28,50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više u 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>nosu na isto razdoblje 202</w:t>
      </w:r>
      <w:r w:rsidR="00E15ED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  <w:r w:rsidRPr="00ED49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poslovanja </w:t>
      </w:r>
      <w:r w:rsidR="00E15E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izvršeni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 kako slijedi:</w:t>
      </w:r>
    </w:p>
    <w:p w14:paraId="2B81337D" w14:textId="77777777" w:rsidR="00B54FBF" w:rsidRDefault="00B54FBF" w:rsidP="00B54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C63DE8" w14:textId="64B730F3" w:rsidR="00B54FBF" w:rsidRDefault="00B54FBF" w:rsidP="00B54FB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322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Rashodi za zaposlene (šifra 31)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izvršeni su u iznosu od </w:t>
      </w:r>
      <w:r w:rsidR="00D7535F">
        <w:rPr>
          <w:rFonts w:ascii="Times New Roman" w:eastAsia="Times New Roman" w:hAnsi="Times New Roman" w:cs="Times New Roman"/>
          <w:sz w:val="24"/>
          <w:szCs w:val="24"/>
          <w:lang w:eastAsia="hr-HR"/>
        </w:rPr>
        <w:t>325.104,00</w:t>
      </w:r>
      <w:r w:rsidR="00A84D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predstavlja povećanje od </w:t>
      </w:r>
      <w:r w:rsidR="00D7535F">
        <w:rPr>
          <w:rFonts w:ascii="Times New Roman" w:eastAsia="Times New Roman" w:hAnsi="Times New Roman" w:cs="Times New Roman"/>
          <w:sz w:val="24"/>
          <w:szCs w:val="24"/>
          <w:lang w:eastAsia="hr-HR"/>
        </w:rPr>
        <w:t>44,80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u odnosu na isto razdoblje 202</w:t>
      </w:r>
      <w:r w:rsidR="00E15ED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Rashodi za zaposlene izvršeni su kako slijedi:</w:t>
      </w:r>
    </w:p>
    <w:p w14:paraId="7641CADD" w14:textId="71940C4A" w:rsidR="00B54FBF" w:rsidRDefault="00B54FBF" w:rsidP="00B54FBF">
      <w:pPr>
        <w:pStyle w:val="Odlomakpopisa"/>
        <w:numPr>
          <w:ilvl w:val="0"/>
          <w:numId w:val="3"/>
        </w:numPr>
        <w:spacing w:after="0" w:line="240" w:lineRule="auto"/>
        <w:ind w:left="14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D49B6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Plaće (bruto)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od </w:t>
      </w:r>
      <w:r w:rsidR="00D753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263.318,16</w:t>
      </w:r>
      <w:r w:rsidR="00A84D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55107B77" w14:textId="749E0A89" w:rsidR="00B54FBF" w:rsidRDefault="00B54FBF" w:rsidP="00B54FBF">
      <w:pPr>
        <w:pStyle w:val="Odlomakpopisa"/>
        <w:numPr>
          <w:ilvl w:val="0"/>
          <w:numId w:val="3"/>
        </w:numPr>
        <w:spacing w:after="0" w:line="240" w:lineRule="auto"/>
        <w:ind w:left="14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Ostali rashodi za zaposlene </w:t>
      </w:r>
      <w:r w:rsidRPr="00ED49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A8333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18.394,36</w:t>
      </w:r>
      <w:r w:rsidR="00A84D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745D75BE" w14:textId="61E0DF61" w:rsidR="00B54FBF" w:rsidRDefault="00B54FBF" w:rsidP="00B54FBF">
      <w:pPr>
        <w:pStyle w:val="Odlomakpopisa"/>
        <w:numPr>
          <w:ilvl w:val="0"/>
          <w:numId w:val="3"/>
        </w:numPr>
        <w:spacing w:after="0" w:line="240" w:lineRule="auto"/>
        <w:ind w:left="14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Doprinosi na plaće </w:t>
      </w:r>
      <w:r w:rsidRPr="00ED49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A8333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43.391,48</w:t>
      </w:r>
      <w:r w:rsidR="00A84D34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EUR</w:t>
      </w:r>
      <w:r w:rsidR="00B3224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581C256" w14:textId="77777777" w:rsidR="00E15ED1" w:rsidRDefault="00E15ED1" w:rsidP="00E15E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07B0158" w14:textId="702E0AC8" w:rsidR="00B54FBF" w:rsidRDefault="00E15ED1" w:rsidP="00B54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Razlozi povećanja rashoda za zaposlene su porast bruto plaća i s tim povezan porast doprinosa te povećanje ostalih rashoda za zaposlene. Također povećao se i broj zaposlenih budući da je pokrenut projekt Ražanac moj dom + II na kojemu su zaposleni voditelj projekta i deset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gerontodomaćica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značajno povećanje u odnosu</w:t>
      </w:r>
      <w:r w:rsidR="00E021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isto razdoblje 2024. godine kada je projekt započeo te još </w:t>
      </w:r>
      <w:r w:rsidR="00A84D34">
        <w:rPr>
          <w:rFonts w:ascii="Times New Roman" w:eastAsia="Times New Roman" w:hAnsi="Times New Roman" w:cs="Times New Roman"/>
          <w:sz w:val="24"/>
          <w:szCs w:val="24"/>
          <w:lang w:eastAsia="hr-HR"/>
        </w:rPr>
        <w:t>nije bio zaposlen maksimalni broj djelatnika.</w:t>
      </w:r>
    </w:p>
    <w:p w14:paraId="2B8F23F8" w14:textId="77777777" w:rsidR="00A84D34" w:rsidRDefault="00A84D34" w:rsidP="00B54F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B0F09D6" w14:textId="53B83C9E" w:rsidR="00357241" w:rsidRDefault="00357241" w:rsidP="0035724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F1C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Materijalni  rashodi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</w:t>
      </w:r>
      <w:r w:rsidRPr="003F1C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32)</w:t>
      </w:r>
      <w:r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izvršeni su </w:t>
      </w:r>
      <w:r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A8333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1.097.401,68</w:t>
      </w:r>
      <w:r w:rsidR="00A84D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 </w:t>
      </w:r>
      <w:r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što je za </w:t>
      </w:r>
      <w:r w:rsidR="00A8333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44,20</w:t>
      </w:r>
      <w:r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više u odnosu na </w:t>
      </w:r>
      <w:bookmarkStart w:id="0" w:name="_Hlk131669175"/>
      <w:r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isto razdoblje 202</w:t>
      </w:r>
      <w:r w:rsidR="00E021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godine. 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Materijalni rashodi izvršeni su kako slijedi:</w:t>
      </w:r>
    </w:p>
    <w:p w14:paraId="4AF922DE" w14:textId="4679A037" w:rsidR="00357241" w:rsidRDefault="00357241" w:rsidP="00357241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F1C35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Naknade troškova zaposlenima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od </w:t>
      </w:r>
      <w:r w:rsidR="00A8333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15.903,40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A84D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52BB8D77" w14:textId="43EB1894" w:rsidR="00357241" w:rsidRPr="003F1C35" w:rsidRDefault="00357241" w:rsidP="00357241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Rashodi za materijal i energiju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A8333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145.19,53</w:t>
      </w:r>
      <w:r w:rsidR="00A84D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002F00E0" w14:textId="0EF16D26" w:rsidR="00357241" w:rsidRDefault="00357241" w:rsidP="00357241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Rashodi za usluge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A8333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870.925,13</w:t>
      </w:r>
      <w:r w:rsidR="00A84D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26414168" w14:textId="53180829" w:rsidR="00357241" w:rsidRDefault="00357241" w:rsidP="00357241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Ostali nespomenuti rashodi poslovanja </w:t>
      </w:r>
      <w:r w:rsidRPr="00ED23E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A8333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63.345,03</w:t>
      </w:r>
      <w:r w:rsidR="00A84D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</w:t>
      </w:r>
      <w:r w:rsidRPr="00ED23E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0890CA97" w14:textId="77777777" w:rsidR="00E02179" w:rsidRDefault="00E02179" w:rsidP="00E021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A702E24" w14:textId="37C2A4DD" w:rsidR="00113900" w:rsidRDefault="00113900" w:rsidP="00E021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Najznačajnije povećanje u odnosu na 2024. godinu bilježi se kod rashoda za sluge. Unutar ove podskupine najznačajniji porast rashoda izvršen je unutar usluga tekućeg i investicijskog održavanja. U prvoj polovici 2025. godine pojačanom dinamikom su se </w:t>
      </w:r>
      <w:r w:rsidR="00584E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odvijali radovi na tekućem  i investicijskom održavanju komunalne infrastrukture što je glavni razlog značajni većeg izvršenja ove podskupine rashoda.</w:t>
      </w:r>
      <w:r w:rsidR="00A8333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Značajno povećanje u odnosu na 2024. godinu zabilježeno je i kod naknada za rad predstavničkih tijela, povjerenstava i slično što je ujedno i glavni razlog značajnijeg povećanja ostalih nespomenutih rashoda poslovanja.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</w:t>
      </w:r>
    </w:p>
    <w:p w14:paraId="38C500E2" w14:textId="77777777" w:rsidR="009A44F8" w:rsidRPr="00584E6B" w:rsidRDefault="009A44F8" w:rsidP="00584E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5870278" w14:textId="43FB728A" w:rsidR="001A539F" w:rsidRDefault="009A44F8" w:rsidP="00B232C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C1D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Financijski rashodi (šifra 34)</w:t>
      </w:r>
      <w:r w:rsidRPr="00EC1D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izvršeni su u iznosu od </w:t>
      </w:r>
      <w:r w:rsidR="00A8333F">
        <w:rPr>
          <w:rFonts w:ascii="Times New Roman" w:eastAsia="Times New Roman" w:hAnsi="Times New Roman" w:cs="Times New Roman"/>
          <w:sz w:val="24"/>
          <w:szCs w:val="24"/>
          <w:lang w:eastAsia="hr-HR"/>
        </w:rPr>
        <w:t>4.535,00</w:t>
      </w:r>
      <w:r w:rsidR="00584E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Pr="00EC1D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za </w:t>
      </w:r>
      <w:r w:rsidR="00A8333F">
        <w:rPr>
          <w:rFonts w:ascii="Times New Roman" w:eastAsia="Times New Roman" w:hAnsi="Times New Roman" w:cs="Times New Roman"/>
          <w:sz w:val="24"/>
          <w:szCs w:val="24"/>
          <w:lang w:eastAsia="hr-HR"/>
        </w:rPr>
        <w:t>42,90</w:t>
      </w:r>
      <w:r w:rsidRPr="00EC1D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više u odnosu na</w:t>
      </w:r>
      <w:r w:rsidRPr="00EC1D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isto razdoblje 202</w:t>
      </w:r>
      <w:r w:rsidR="001A53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Pr="00EC1D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godine. </w:t>
      </w:r>
    </w:p>
    <w:p w14:paraId="32DAD104" w14:textId="3F9FBE1F" w:rsidR="00EC1D8F" w:rsidRDefault="00EC1D8F" w:rsidP="00584E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741B789" w14:textId="1DC1EE63" w:rsidR="00584E6B" w:rsidRDefault="00584E6B" w:rsidP="00584E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Povećanje izvršenja ove skupine rashoda u odnosu na isto razdoblje 2024. godine</w:t>
      </w:r>
      <w:r w:rsidR="000451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 značajno povećanje ostalih financijskih rashoda. Naime, radi se o naknadi za obradu kredita koje je Općina Ražanac podigla kod HBOR-a. </w:t>
      </w:r>
    </w:p>
    <w:p w14:paraId="71BCC64B" w14:textId="77777777" w:rsidR="00584E6B" w:rsidRPr="00584E6B" w:rsidRDefault="00584E6B" w:rsidP="00584E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DB17924" w14:textId="47077A72" w:rsidR="00C63BE4" w:rsidRDefault="00342A61" w:rsidP="00A9224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63B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Pomoći dane u inozemstvo i unutar općeg proračuna (šifra </w:t>
      </w:r>
      <w:r w:rsidR="00C63BE4" w:rsidRPr="00C63B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36</w:t>
      </w:r>
      <w:r w:rsidRPr="00C63B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  <w:r w:rsidR="00C63BE4" w:rsidRPr="00C63B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63BE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su izvršene u iznosu od </w:t>
      </w:r>
      <w:r w:rsidR="00A8333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235.422,07</w:t>
      </w:r>
      <w:r w:rsidR="000451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</w:t>
      </w:r>
      <w:r w:rsidR="00C63BE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što predstavlja povećanje od </w:t>
      </w:r>
      <w:r w:rsidR="00A8333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19,70</w:t>
      </w:r>
      <w:r w:rsidR="00C63BE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u odnosu na isto razdoblje 202</w:t>
      </w:r>
      <w:r w:rsidR="00A9224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="00C63BE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godine.</w:t>
      </w:r>
      <w:r w:rsidR="00A9224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63BE4" w:rsidRPr="00A9224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Ova vrsta rashoda ostvarena je kako slijedi:</w:t>
      </w:r>
    </w:p>
    <w:p w14:paraId="6BF055FF" w14:textId="6B9EA687" w:rsidR="00A9224E" w:rsidRDefault="00A9224E" w:rsidP="00A9224E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9224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Pomoći drugom proračunu i izvanproračunskim korisnicima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9224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A8333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34.970,15</w:t>
      </w:r>
      <w:r w:rsidR="000451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</w:t>
      </w:r>
      <w:r w:rsidRPr="00A9224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08BC4C55" w14:textId="2467FC51" w:rsidR="0004511F" w:rsidRPr="00A9224E" w:rsidRDefault="0004511F" w:rsidP="00A9224E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Pomoći proračunskim korisnicima drugih proračuna </w:t>
      </w:r>
      <w:r w:rsidRPr="000451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iznosu od 1.875,00 EUR,</w:t>
      </w:r>
    </w:p>
    <w:p w14:paraId="716E19C1" w14:textId="61599CDA" w:rsidR="00C63BE4" w:rsidRDefault="00C63BE4" w:rsidP="00C63BE4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63BE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Prijenos proračunskim korisnicima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od </w:t>
      </w:r>
      <w:r w:rsidR="009B33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198.576,62</w:t>
      </w:r>
      <w:r w:rsidR="000451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73F82910" w14:textId="77777777" w:rsidR="00A9224E" w:rsidRDefault="00A9224E" w:rsidP="00A922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A465A37" w14:textId="7C78C240" w:rsidR="00A9224E" w:rsidRPr="00A9224E" w:rsidRDefault="00A9224E" w:rsidP="00A922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Prijenos proračunskim korisnicima najznačajnije je porastao u odnosu na isto razdoblje 2024. godine. Prijenos proračunskim korisnicima primarno je porastao zbog povećanja bruto plaća svim zaposlenicima proračunskih korisnika.</w:t>
      </w:r>
    </w:p>
    <w:p w14:paraId="07AC5DF0" w14:textId="77777777" w:rsidR="00EC1D8F" w:rsidRPr="00F9253A" w:rsidRDefault="00EC1D8F" w:rsidP="00EC1D8F">
      <w:pPr>
        <w:pStyle w:val="Odlomakpopis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CC5E37F" w14:textId="58165FFD" w:rsidR="00A9224E" w:rsidRDefault="00C63BE4" w:rsidP="00C63BE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63B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Naknade građanima i kućanstvima na temelju osiguranja i druge naknade (šifra 37)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izvršene su u iznosu od </w:t>
      </w:r>
      <w:r w:rsidR="009B33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69.271,84</w:t>
      </w:r>
      <w:r w:rsidR="000451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što je </w:t>
      </w:r>
      <w:r w:rsidR="009B33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55,00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više u odnosu na isto razdoblje 202</w:t>
      </w:r>
      <w:r w:rsidR="00A9224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godine. </w:t>
      </w:r>
    </w:p>
    <w:p w14:paraId="65E88620" w14:textId="77777777" w:rsidR="00A9224E" w:rsidRPr="00A9224E" w:rsidRDefault="00A9224E" w:rsidP="00A9224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909E704" w14:textId="2422B0AC" w:rsidR="003831C7" w:rsidRDefault="001F6575" w:rsidP="003831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Naknade građanima i kućanstvima su porasle u značajnom iznosu zbog odluke da Općina Ražanac dodjeli pomoć za svako novorođeno dijete u iznosu od 1.000,00 eura godišnje do sedme godine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života djeteta. Kako se ova odluka počela primjenjivati početkom 2024. godine suma je višestruko narasla zbog predaje zahtjeva (kojih je 30-ak godišnje) te isplate drugih rata prema sklopljenim ugovorima. Ovakav trend rasta očekuje se sedam godina uzastopno.  </w:t>
      </w:r>
    </w:p>
    <w:p w14:paraId="2C13B003" w14:textId="77777777" w:rsidR="001F6575" w:rsidRDefault="001F6575" w:rsidP="003831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D50EB31" w14:textId="0BC0CFC3" w:rsidR="001F6575" w:rsidRDefault="001F6575" w:rsidP="003831C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donacije, kazne, naknade šteta i kapitalne pomoći</w:t>
      </w:r>
      <w:r w:rsidR="003831C7" w:rsidRPr="003831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(šifra 38)</w:t>
      </w:r>
      <w:r w:rsidR="003831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izvršeni su u iznosu od </w:t>
      </w:r>
      <w:r w:rsidR="009B33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154.013,34</w:t>
      </w:r>
      <w:r w:rsidR="000451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</w:t>
      </w:r>
      <w:r w:rsidR="003831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ili za </w:t>
      </w:r>
      <w:r w:rsidR="009B33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9,70</w:t>
      </w:r>
      <w:r w:rsidR="000451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%</w:t>
      </w:r>
      <w:r w:rsidR="003831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više u odnosu na isto izvještajno razdoblje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="003831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godine. </w:t>
      </w:r>
    </w:p>
    <w:p w14:paraId="266FAC61" w14:textId="77777777" w:rsidR="001F6575" w:rsidRDefault="001F6575" w:rsidP="001F65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D887246" w14:textId="5663A8E6" w:rsidR="009A44F8" w:rsidRPr="009A44F8" w:rsidRDefault="001F6575" w:rsidP="009A4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Osnovni razlog povećanja ove skupine rashoda je donacija Turističkoj zajednici Općine Ražanac gdje je prva tranša predviđenih sredstava išla u prvom tromjesečju dok je prethodne godine to bilo u trećem tromjesečju. Također povećana su i izdvajanja za </w:t>
      </w:r>
      <w:r w:rsidR="00770A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DVD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Ražanac. </w:t>
      </w:r>
    </w:p>
    <w:p w14:paraId="3992854A" w14:textId="49EF689B" w:rsidR="00B54FBF" w:rsidRPr="00B54FBF" w:rsidRDefault="00B54FBF" w:rsidP="00357241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9E03A5" w14:textId="24BE796A" w:rsidR="00190AD8" w:rsidRPr="003203BD" w:rsidRDefault="00190AD8" w:rsidP="00190A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3BD">
        <w:rPr>
          <w:rFonts w:ascii="Times New Roman" w:hAnsi="Times New Roman" w:cs="Times New Roman"/>
          <w:b/>
          <w:sz w:val="24"/>
          <w:szCs w:val="24"/>
        </w:rPr>
        <w:t>PRIHODI OD PRODAJE NEFINANCIJSKE IMOVINE</w:t>
      </w:r>
    </w:p>
    <w:p w14:paraId="24232385" w14:textId="0CD925DC" w:rsidR="00BC3257" w:rsidRDefault="00190AD8" w:rsidP="00630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03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prodaje nefinancijske imovine ostvareni su u iznosu </w:t>
      </w:r>
      <w:r w:rsidR="009B33CA">
        <w:rPr>
          <w:rFonts w:ascii="Times New Roman" w:eastAsia="Times New Roman" w:hAnsi="Times New Roman" w:cs="Times New Roman"/>
          <w:sz w:val="24"/>
          <w:szCs w:val="24"/>
          <w:lang w:eastAsia="hr-HR"/>
        </w:rPr>
        <w:t>15.091,49</w:t>
      </w:r>
      <w:r w:rsidR="002A71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Pr="003203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za </w:t>
      </w:r>
      <w:r w:rsidR="009B33CA">
        <w:rPr>
          <w:rFonts w:ascii="Times New Roman" w:eastAsia="Times New Roman" w:hAnsi="Times New Roman" w:cs="Times New Roman"/>
          <w:sz w:val="24"/>
          <w:szCs w:val="24"/>
          <w:lang w:eastAsia="hr-HR"/>
        </w:rPr>
        <w:t>95,80</w:t>
      </w:r>
      <w:r w:rsidR="00E96D36" w:rsidRPr="003203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203BD">
        <w:rPr>
          <w:rFonts w:ascii="Times New Roman" w:eastAsia="Times New Roman" w:hAnsi="Times New Roman" w:cs="Times New Roman"/>
          <w:sz w:val="24"/>
          <w:szCs w:val="24"/>
          <w:lang w:eastAsia="hr-HR"/>
        </w:rPr>
        <w:t>% manje u odnosu na isto razdoblje 202</w:t>
      </w:r>
      <w:r w:rsidR="003203BD" w:rsidRPr="003203B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203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</w:p>
    <w:p w14:paraId="7854AD4E" w14:textId="77777777" w:rsidR="003203BD" w:rsidRDefault="003203BD" w:rsidP="00630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2C7EF3" w14:textId="6245F17D" w:rsidR="003203BD" w:rsidRPr="006300E2" w:rsidRDefault="003203BD" w:rsidP="006300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prodaje nefinancijske imovine značajno su manji zbog toga što do kraja prvog tromjesečja elaborati nisu izrađeni te se nije moglo pristupiti prodaji nefinancijske imovine. Porast ove </w:t>
      </w:r>
      <w:r w:rsidR="002373CB">
        <w:rPr>
          <w:rFonts w:ascii="Times New Roman" w:eastAsia="Times New Roman" w:hAnsi="Times New Roman" w:cs="Times New Roman"/>
          <w:sz w:val="24"/>
          <w:szCs w:val="24"/>
          <w:lang w:eastAsia="hr-HR"/>
        </w:rPr>
        <w:t>vrste</w:t>
      </w:r>
      <w:r w:rsidR="001118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prihoda očekuje</w:t>
      </w:r>
      <w:r w:rsidR="001118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 w:rsidR="002A71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6C5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zadnjem kvartalu </w:t>
      </w:r>
      <w:r w:rsidR="002A7116">
        <w:rPr>
          <w:rFonts w:ascii="Times New Roman" w:eastAsia="Times New Roman" w:hAnsi="Times New Roman" w:cs="Times New Roman"/>
          <w:sz w:val="24"/>
          <w:szCs w:val="24"/>
          <w:lang w:eastAsia="hr-HR"/>
        </w:rPr>
        <w:t>2025. godine</w:t>
      </w:r>
      <w:r w:rsidR="001118B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6493DF6" w14:textId="77777777" w:rsidR="006300E2" w:rsidRDefault="006300E2" w:rsidP="006300E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57EDC3E" w14:textId="66A1A845" w:rsidR="006300E2" w:rsidRPr="006B40A5" w:rsidRDefault="006300E2" w:rsidP="00630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B40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ASHODI ZA NABAVU NEFINANCIJSKE IMOVINE </w:t>
      </w:r>
    </w:p>
    <w:p w14:paraId="5ED3F40A" w14:textId="5E5F7331" w:rsidR="006300E2" w:rsidRDefault="006300E2" w:rsidP="00630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nabavu nefinancijske imovine izvršeni su 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6C5585">
        <w:rPr>
          <w:rFonts w:ascii="Times New Roman" w:eastAsia="Times New Roman" w:hAnsi="Times New Roman" w:cs="Times New Roman"/>
          <w:sz w:val="24"/>
          <w:szCs w:val="24"/>
          <w:lang w:eastAsia="hr-HR"/>
        </w:rPr>
        <w:t>1.881.667,81</w:t>
      </w:r>
      <w:r w:rsidR="002A71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za</w:t>
      </w:r>
      <w:r w:rsidR="001118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5585">
        <w:rPr>
          <w:rFonts w:ascii="Times New Roman" w:eastAsia="Times New Roman" w:hAnsi="Times New Roman" w:cs="Times New Roman"/>
          <w:sz w:val="24"/>
          <w:szCs w:val="24"/>
          <w:lang w:eastAsia="hr-HR"/>
        </w:rPr>
        <w:t>66,10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više u 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>nosu na isto razdoblje 202</w:t>
      </w:r>
      <w:r w:rsidR="001118B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C0F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godine.</w:t>
      </w:r>
      <w:r w:rsidRPr="00ED49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nabavu nefinancijske imovine  ostvareni su kako slijedi:</w:t>
      </w:r>
    </w:p>
    <w:p w14:paraId="1F7BFB29" w14:textId="77777777" w:rsidR="002A7116" w:rsidRDefault="002A7116" w:rsidP="00630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C2B80A" w14:textId="28AAFD9B" w:rsidR="002A7116" w:rsidRPr="002A7116" w:rsidRDefault="002A7116" w:rsidP="002A711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71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Rashodi za nabavu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</w:t>
      </w:r>
      <w:r w:rsidRPr="002A71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proizvedene</w:t>
      </w:r>
      <w:proofErr w:type="spellEnd"/>
      <w:r w:rsidRPr="002A71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dugotrajne imovine (šifra 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2A71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  <w:r w:rsidRPr="002A71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300E2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izvršeni su u iznosu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6C5585">
        <w:rPr>
          <w:rFonts w:ascii="Times New Roman" w:eastAsia="Times New Roman" w:hAnsi="Times New Roman" w:cs="Times New Roman"/>
          <w:sz w:val="24"/>
          <w:szCs w:val="24"/>
          <w:lang w:eastAsia="hr-HR"/>
        </w:rPr>
        <w:t>27.316,75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što je smanjenje od </w:t>
      </w:r>
      <w:r w:rsidR="006C5585">
        <w:rPr>
          <w:rFonts w:ascii="Times New Roman" w:eastAsia="Times New Roman" w:hAnsi="Times New Roman" w:cs="Times New Roman"/>
          <w:sz w:val="24"/>
          <w:szCs w:val="24"/>
          <w:lang w:eastAsia="hr-HR"/>
        </w:rPr>
        <w:t>76,60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u odnosu na isto razdoblje 2024. godine.</w:t>
      </w:r>
    </w:p>
    <w:p w14:paraId="72A252D1" w14:textId="77777777" w:rsidR="00BC0F43" w:rsidRPr="00946CE5" w:rsidRDefault="00BC0F43" w:rsidP="00BC0F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B397E62" w14:textId="148C50D8" w:rsidR="00BC0F43" w:rsidRPr="00C63BE4" w:rsidRDefault="00BC0F43" w:rsidP="00BC0F4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300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Rashodi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nabavu proizvedene dugotrajne imovine </w:t>
      </w:r>
      <w:r w:rsidRPr="006300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(šifra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42</w:t>
      </w:r>
      <w:r w:rsidRPr="006300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) </w:t>
      </w:r>
      <w:r w:rsidRPr="006300E2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izvršeni su u iznosu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6C5585">
        <w:rPr>
          <w:rFonts w:ascii="Times New Roman" w:eastAsia="Times New Roman" w:hAnsi="Times New Roman" w:cs="Times New Roman"/>
          <w:sz w:val="24"/>
          <w:szCs w:val="24"/>
          <w:lang w:eastAsia="hr-HR"/>
        </w:rPr>
        <w:t>1.728.883,24</w:t>
      </w:r>
      <w:r w:rsidR="002A71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povećanje od </w:t>
      </w:r>
      <w:r w:rsidR="006C5585">
        <w:rPr>
          <w:rFonts w:ascii="Times New Roman" w:eastAsia="Times New Roman" w:hAnsi="Times New Roman" w:cs="Times New Roman"/>
          <w:sz w:val="24"/>
          <w:szCs w:val="24"/>
          <w:lang w:eastAsia="hr-HR"/>
        </w:rPr>
        <w:t>82,00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u odnosu na isto razdoblje 202</w:t>
      </w:r>
      <w:r w:rsidR="001118B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  <w:r w:rsidRPr="00BC0F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Ova vrsta rashoda izvršena je kako slijedi:</w:t>
      </w:r>
    </w:p>
    <w:p w14:paraId="37B22A47" w14:textId="278996D1" w:rsidR="00BC0F43" w:rsidRDefault="00BC0F43" w:rsidP="00BC0F43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Građevinski objekti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6C55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1.670.744,19</w:t>
      </w:r>
      <w:r w:rsidR="002A71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2D63103F" w14:textId="6F2BCB07" w:rsidR="00BC0F43" w:rsidRDefault="00BC0F43" w:rsidP="00BC0F43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Postrojenja i oprema </w:t>
      </w:r>
      <w:r w:rsidRPr="00BC0F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6C55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23.139,05</w:t>
      </w:r>
      <w:r w:rsidR="002A71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</w:t>
      </w:r>
      <w:r w:rsidRPr="00BC0F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292613B5" w14:textId="1779EBB9" w:rsidR="00BC0F43" w:rsidRDefault="002806F9" w:rsidP="006C5585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806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Nematerijalna proizvedena imovina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od </w:t>
      </w:r>
      <w:r w:rsidR="006C55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35.000,00</w:t>
      </w:r>
      <w:r w:rsidRPr="006C55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A7116" w:rsidRPr="006C55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r w:rsidR="006C55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65BB7D93" w14:textId="77777777" w:rsidR="002806F9" w:rsidRDefault="002806F9" w:rsidP="002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8DECBB5" w14:textId="0AF1E473" w:rsidR="0005356B" w:rsidRPr="001118BD" w:rsidRDefault="002806F9" w:rsidP="00A66FA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118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dodatna ulaganja na nefinancijskoj imovini (šifra 45)</w:t>
      </w:r>
      <w:r w:rsidRPr="001118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izvršeni su u iznosu od </w:t>
      </w:r>
      <w:r w:rsidR="006C55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125.467,82</w:t>
      </w:r>
      <w:r w:rsidR="002A71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</w:t>
      </w:r>
      <w:r w:rsidRPr="001118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što </w:t>
      </w:r>
      <w:r w:rsidR="001118BD" w:rsidRPr="001118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je </w:t>
      </w:r>
      <w:r w:rsidR="002A71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povećanje za </w:t>
      </w:r>
      <w:r w:rsidR="006C55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89,50</w:t>
      </w:r>
      <w:r w:rsidR="002A71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u odnosu na isto </w:t>
      </w:r>
      <w:r w:rsidR="001118BD" w:rsidRPr="001118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razdoblj</w:t>
      </w:r>
      <w:r w:rsidR="002A71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1118BD" w:rsidRPr="001118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2024. godin</w:t>
      </w:r>
      <w:r w:rsidR="002A71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1118BD" w:rsidRPr="001118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</w:p>
    <w:p w14:paraId="6B0FBBFF" w14:textId="77777777" w:rsidR="00D42C2C" w:rsidRDefault="00D42C2C" w:rsidP="006F2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</w:p>
    <w:p w14:paraId="31541368" w14:textId="27252C79" w:rsidR="006C5585" w:rsidRDefault="006C5585" w:rsidP="006F2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PRIMICI OD FINANCIJSKE IMOVINE I ZADUŽIVANJA</w:t>
      </w:r>
    </w:p>
    <w:p w14:paraId="0C88CAC1" w14:textId="4569C9AE" w:rsidR="006C5585" w:rsidRDefault="006C5585" w:rsidP="006F2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C55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Primici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 financijske imovine i zaduživanja ostvareni su u iznosu od </w:t>
      </w:r>
      <w:r w:rsidR="00DD15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317.026,50 EUR. Ovdje se radi o primicima od kredita koji je podignut kod Hrvatske banke za obnovu i razvitak a koristi se za izgradnju područnog objekta Dječjeg vrtića Ražanac u </w:t>
      </w:r>
      <w:proofErr w:type="spellStart"/>
      <w:r w:rsidR="00DD15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Radovinu</w:t>
      </w:r>
      <w:proofErr w:type="spellEnd"/>
      <w:r w:rsidR="00DD15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</w:p>
    <w:p w14:paraId="4FE67E7B" w14:textId="77777777" w:rsidR="00DD1527" w:rsidRPr="006C5585" w:rsidRDefault="00DD1527" w:rsidP="006F2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7AC0A20" w14:textId="7CD5CE30" w:rsidR="0005356B" w:rsidRDefault="00B37B9D" w:rsidP="006F2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7B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IZDACI ZA FINANCIJSKU IMOVINU IOTPLATE ZAJMOVA</w:t>
      </w:r>
    </w:p>
    <w:p w14:paraId="31E908B4" w14:textId="54F8EF89" w:rsidR="006F21C3" w:rsidRPr="00B37B9D" w:rsidRDefault="00B37B9D" w:rsidP="006F2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37B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Izdaci za financijsku imovinu i otplate zajmova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izvršeni su u iznosu od </w:t>
      </w:r>
      <w:r w:rsidR="00DD15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29.393,85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373C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 odnose se otplatu kredita </w:t>
      </w:r>
      <w:r w:rsidR="00D42C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kojeg je Općina Ražanac podigla kod Hrvatske banke za obnovu i razvitak za </w:t>
      </w:r>
      <w:r w:rsidR="00D42C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rekonstrukciju javne rasvjete. Tokom </w:t>
      </w:r>
      <w:r w:rsidR="001118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istog razdoblja </w:t>
      </w:r>
      <w:r w:rsidR="00D42C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</w:t>
      </w:r>
      <w:r w:rsidR="001118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="00D42C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 nije bilo izvršenja ove vrste rashoda.</w:t>
      </w:r>
    </w:p>
    <w:p w14:paraId="2D5BBC74" w14:textId="77777777" w:rsidR="00B37B9D" w:rsidRDefault="00B37B9D" w:rsidP="006F2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</w:p>
    <w:p w14:paraId="14A4B946" w14:textId="6F1281AA" w:rsidR="006F21C3" w:rsidRPr="006F21C3" w:rsidRDefault="006F21C3" w:rsidP="006F2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F21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Višak prihoda i primitaka raspoloživ u slijedećem razdoblju</w:t>
      </w:r>
    </w:p>
    <w:p w14:paraId="023716E2" w14:textId="26305754" w:rsidR="00F9253A" w:rsidRDefault="006F21C3" w:rsidP="006F2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izvještajnom razdoblju ostvaren je ukupni višak prihoda i primitaka u odnosu na rashode i izdatke u iznosu od </w:t>
      </w:r>
      <w:r w:rsidR="00DD15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329.932,03</w:t>
      </w:r>
      <w:r w:rsidR="002373C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</w:t>
      </w:r>
      <w:r w:rsidR="002808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F1C6AA9" w14:textId="77777777" w:rsidR="0005356B" w:rsidRDefault="0005356B" w:rsidP="006F2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2235133" w14:textId="1190FC98" w:rsidR="00BC0F43" w:rsidRPr="00F9253A" w:rsidRDefault="00280805" w:rsidP="006F2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808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Prosječan broj zaposlenih </w:t>
      </w:r>
    </w:p>
    <w:p w14:paraId="16E1FE28" w14:textId="709A809B" w:rsidR="00280805" w:rsidRDefault="00280805" w:rsidP="006F2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808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Tokom izvještajnog razdoblja prosječan broj zaposlenih iznosi </w:t>
      </w:r>
      <w:r w:rsidR="00D42C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19</w:t>
      </w:r>
      <w:r w:rsidRPr="002808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r w:rsidR="00D42C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devetnaest</w:t>
      </w:r>
      <w:r w:rsidRPr="002808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).</w:t>
      </w:r>
    </w:p>
    <w:p w14:paraId="59D6EAC2" w14:textId="77777777" w:rsidR="00993E60" w:rsidRDefault="00993E60" w:rsidP="00891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8B49936" w14:textId="77777777" w:rsidR="00DF1F2C" w:rsidRDefault="00DF1F2C" w:rsidP="00891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091DACC" w14:textId="298B2DD7" w:rsidR="00891D0B" w:rsidRDefault="00DF1F2C" w:rsidP="00891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>2</w:t>
      </w:r>
      <w:r w:rsidR="00891D0B" w:rsidRPr="00891D0B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 xml:space="preserve">. </w:t>
      </w:r>
      <w:r w:rsidR="00891D0B" w:rsidRPr="00891D0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Bilješke</w:t>
      </w:r>
      <w:r w:rsidR="00891D0B" w:rsidRPr="00E10D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uz Izvještaj o</w:t>
      </w:r>
      <w:r w:rsidR="00891D0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obvezama</w:t>
      </w:r>
    </w:p>
    <w:p w14:paraId="5669CBD8" w14:textId="2683AFEF" w:rsidR="00891D0B" w:rsidRDefault="00891D0B" w:rsidP="00891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8CD1B6B" w14:textId="038BACCE" w:rsidR="00450E95" w:rsidRDefault="00993E60" w:rsidP="00891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početku izvještajnog razdoblja, odnosno</w:t>
      </w:r>
      <w:r w:rsidR="00F925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1. siječnja 202</w:t>
      </w:r>
      <w:r w:rsidR="00DF1F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F925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godine, ukupne obveze iznosile su</w:t>
      </w:r>
      <w:r w:rsidR="00F925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D3C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424.257,39 EUR</w:t>
      </w:r>
      <w:r w:rsidR="00F925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DF1F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Tijekom </w:t>
      </w:r>
      <w:r w:rsidR="00F925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izvještajnog razdoblja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preuzete su </w:t>
      </w:r>
      <w:r w:rsidR="00F925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obveze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od </w:t>
      </w:r>
      <w:r w:rsidR="00DD15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4.016.204,91</w:t>
      </w:r>
      <w:r w:rsidR="00DF1F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D3C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EUR, dok su tijekom </w:t>
      </w:r>
      <w:r w:rsidR="00DF1F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izvještajnog razdoblja podmirene u iznosu od </w:t>
      </w:r>
      <w:r w:rsidR="00CA04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3.692.728,26</w:t>
      </w:r>
      <w:r w:rsidR="005D3C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</w:t>
      </w:r>
      <w:r w:rsidR="00DF1F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</w:p>
    <w:p w14:paraId="772BBBCE" w14:textId="77777777" w:rsidR="00450E95" w:rsidRDefault="00450E95" w:rsidP="00891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8533005" w14:textId="25C534FB" w:rsidR="00FA6BDA" w:rsidRDefault="00450E95" w:rsidP="00891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kraju izvještajnog razdoblja Općina Ražanac ima evidentirane ukupne obveze u iznosu </w:t>
      </w:r>
      <w:r w:rsidR="00CA04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747.734,04</w:t>
      </w:r>
      <w:r w:rsidR="005D3C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 čega </w:t>
      </w:r>
      <w:r w:rsidR="00DF1F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A04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28.741,02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D3C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dospjelo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 </w:t>
      </w:r>
      <w:r w:rsidR="00CA04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718.993,02</w:t>
      </w:r>
      <w:r w:rsidR="005D3C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 nedospjelo</w:t>
      </w:r>
      <w:r w:rsidR="00FA6BD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</w:p>
    <w:p w14:paraId="25836552" w14:textId="77777777" w:rsidR="00FA6BDA" w:rsidRDefault="00FA6BDA" w:rsidP="00891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9D985A9" w14:textId="7D59BEA6" w:rsidR="00FA6BDA" w:rsidRDefault="005D3C46" w:rsidP="0005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Obveze koje su dospjele a nisu podmirene odnose se na </w:t>
      </w:r>
      <w:r w:rsidR="00DE13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račune dobavljača koji zbog nekog razloga nisu potpuni te prema Proceduri nisu poslani na plaćanje te se čeka da dobavljači upotpune elemente koji nedostaju kako bi se obaveze podmirile.</w:t>
      </w:r>
    </w:p>
    <w:p w14:paraId="727F7FBD" w14:textId="77777777" w:rsidR="00FA6BDA" w:rsidRDefault="00FA6BDA" w:rsidP="0005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E434E9" w14:textId="77777777" w:rsidR="00FA6BDA" w:rsidRDefault="00FA6BDA" w:rsidP="0005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34AE30" w14:textId="5E3EA256" w:rsidR="0005356B" w:rsidRPr="006B57B2" w:rsidRDefault="0005356B" w:rsidP="0005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Ražancu </w:t>
      </w:r>
      <w:r w:rsidR="00DF1F2C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92163B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216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listopada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FA6BD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500B2447" w14:textId="77777777" w:rsidR="0005356B" w:rsidRDefault="0005356B" w:rsidP="0005356B">
      <w:pPr>
        <w:rPr>
          <w:rFonts w:ascii="Times New Roman" w:hAnsi="Times New Roman" w:cs="Times New Roman"/>
          <w:b/>
          <w:sz w:val="24"/>
          <w:szCs w:val="24"/>
        </w:rPr>
      </w:pPr>
    </w:p>
    <w:p w14:paraId="567BA483" w14:textId="77777777" w:rsidR="0005356B" w:rsidRPr="004F4A2F" w:rsidRDefault="0005356B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6324EE" w14:textId="77777777" w:rsidR="0005356B" w:rsidRPr="004F4A2F" w:rsidRDefault="0005356B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>Bilješke izradio:</w:t>
      </w:r>
    </w:p>
    <w:p w14:paraId="144D7002" w14:textId="4EFF9B41" w:rsidR="00FA6BDA" w:rsidRDefault="00FA6BDA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Pročelnik UO za </w:t>
      </w:r>
      <w:r w:rsidR="00EF6BEA">
        <w:rPr>
          <w:rFonts w:ascii="Times New Roman" w:hAnsi="Times New Roman" w:cs="Times New Roman"/>
          <w:sz w:val="24"/>
          <w:szCs w:val="24"/>
        </w:rPr>
        <w:t>financije, proračun i ekonomske poslove</w:t>
      </w:r>
    </w:p>
    <w:p w14:paraId="568CBB84" w14:textId="05AEFD40" w:rsidR="0005356B" w:rsidRPr="004F4A2F" w:rsidRDefault="0005356B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 xml:space="preserve">Marko Katić, </w:t>
      </w:r>
      <w:r w:rsidR="00FA6BDA">
        <w:rPr>
          <w:rFonts w:ascii="Times New Roman" w:hAnsi="Times New Roman" w:cs="Times New Roman"/>
          <w:sz w:val="24"/>
          <w:szCs w:val="24"/>
        </w:rPr>
        <w:t>mag.</w:t>
      </w:r>
      <w:r w:rsidR="00DF1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F2C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FA6BDA">
        <w:rPr>
          <w:rFonts w:ascii="Times New Roman" w:hAnsi="Times New Roman" w:cs="Times New Roman"/>
          <w:sz w:val="24"/>
          <w:szCs w:val="24"/>
        </w:rPr>
        <w:t>.</w:t>
      </w:r>
      <w:r w:rsidR="00DF1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262F2" w14:textId="1497D789" w:rsidR="0005356B" w:rsidRDefault="0005356B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7A9C7C" w14:textId="77777777" w:rsidR="0005356B" w:rsidRDefault="0005356B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F73CF" w14:textId="77777777" w:rsidR="00FA6BDA" w:rsidRDefault="00FA6BDA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27B4F9" w14:textId="77777777" w:rsidR="00FA6BDA" w:rsidRDefault="00FA6BDA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D1E7DB" w14:textId="77777777" w:rsidR="0005356B" w:rsidRDefault="0005356B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B8C036" w14:textId="77777777" w:rsidR="0005356B" w:rsidRDefault="0005356B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Damir Jordan, ing.</w:t>
      </w:r>
    </w:p>
    <w:p w14:paraId="52B290A3" w14:textId="77777777" w:rsidR="0005356B" w:rsidRPr="004F4A2F" w:rsidRDefault="0005356B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Općinski načelnik</w:t>
      </w:r>
    </w:p>
    <w:p w14:paraId="2035FE35" w14:textId="77777777" w:rsidR="00F9253A" w:rsidRPr="00891D0B" w:rsidRDefault="00F9253A" w:rsidP="00891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sectPr w:rsidR="00F9253A" w:rsidRPr="00891D0B" w:rsidSect="00916F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50FB6"/>
    <w:multiLevelType w:val="hybridMultilevel"/>
    <w:tmpl w:val="962EF2D0"/>
    <w:lvl w:ilvl="0" w:tplc="44D04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E69B8"/>
    <w:multiLevelType w:val="hybridMultilevel"/>
    <w:tmpl w:val="E92239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941F9A"/>
    <w:multiLevelType w:val="hybridMultilevel"/>
    <w:tmpl w:val="9DCC2334"/>
    <w:lvl w:ilvl="0" w:tplc="F4D40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41EEB"/>
    <w:multiLevelType w:val="hybridMultilevel"/>
    <w:tmpl w:val="CEF669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46968137">
    <w:abstractNumId w:val="2"/>
  </w:num>
  <w:num w:numId="2" w16cid:durableId="2084716257">
    <w:abstractNumId w:val="0"/>
  </w:num>
  <w:num w:numId="3" w16cid:durableId="1037050116">
    <w:abstractNumId w:val="3"/>
  </w:num>
  <w:num w:numId="4" w16cid:durableId="261844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E0"/>
    <w:rsid w:val="00002626"/>
    <w:rsid w:val="0004511F"/>
    <w:rsid w:val="0005356B"/>
    <w:rsid w:val="00060610"/>
    <w:rsid w:val="000D0852"/>
    <w:rsid w:val="001118BD"/>
    <w:rsid w:val="00113900"/>
    <w:rsid w:val="001457EE"/>
    <w:rsid w:val="0017439C"/>
    <w:rsid w:val="00190AD8"/>
    <w:rsid w:val="001A539F"/>
    <w:rsid w:val="001F6575"/>
    <w:rsid w:val="001F720D"/>
    <w:rsid w:val="002124AA"/>
    <w:rsid w:val="002373CB"/>
    <w:rsid w:val="002735F5"/>
    <w:rsid w:val="002806F9"/>
    <w:rsid w:val="00280805"/>
    <w:rsid w:val="002A7116"/>
    <w:rsid w:val="00311CB3"/>
    <w:rsid w:val="003203BD"/>
    <w:rsid w:val="00342A61"/>
    <w:rsid w:val="00357241"/>
    <w:rsid w:val="003831C7"/>
    <w:rsid w:val="003B0C9F"/>
    <w:rsid w:val="00450E95"/>
    <w:rsid w:val="004B1FE0"/>
    <w:rsid w:val="004F1969"/>
    <w:rsid w:val="00514533"/>
    <w:rsid w:val="00584E6B"/>
    <w:rsid w:val="005D3C46"/>
    <w:rsid w:val="006300E2"/>
    <w:rsid w:val="0064009B"/>
    <w:rsid w:val="00671BFF"/>
    <w:rsid w:val="00692B61"/>
    <w:rsid w:val="006B5AE5"/>
    <w:rsid w:val="006C5585"/>
    <w:rsid w:val="006F21C3"/>
    <w:rsid w:val="00770A5F"/>
    <w:rsid w:val="00891D0B"/>
    <w:rsid w:val="008A5825"/>
    <w:rsid w:val="008E068F"/>
    <w:rsid w:val="00916F0A"/>
    <w:rsid w:val="0092163B"/>
    <w:rsid w:val="00940777"/>
    <w:rsid w:val="00946CE5"/>
    <w:rsid w:val="00993E60"/>
    <w:rsid w:val="009A44F8"/>
    <w:rsid w:val="009B33CA"/>
    <w:rsid w:val="009B5E0C"/>
    <w:rsid w:val="009D3BF0"/>
    <w:rsid w:val="00A8333F"/>
    <w:rsid w:val="00A84D34"/>
    <w:rsid w:val="00A9224E"/>
    <w:rsid w:val="00B004AE"/>
    <w:rsid w:val="00B3224F"/>
    <w:rsid w:val="00B37B9D"/>
    <w:rsid w:val="00B54FBF"/>
    <w:rsid w:val="00BC0F43"/>
    <w:rsid w:val="00BC3257"/>
    <w:rsid w:val="00BF0481"/>
    <w:rsid w:val="00C36F74"/>
    <w:rsid w:val="00C40658"/>
    <w:rsid w:val="00C63BE4"/>
    <w:rsid w:val="00C73630"/>
    <w:rsid w:val="00C97C8E"/>
    <w:rsid w:val="00CA04EE"/>
    <w:rsid w:val="00CD3592"/>
    <w:rsid w:val="00CE1394"/>
    <w:rsid w:val="00D42C2C"/>
    <w:rsid w:val="00D52158"/>
    <w:rsid w:val="00D531BA"/>
    <w:rsid w:val="00D7535F"/>
    <w:rsid w:val="00D829B6"/>
    <w:rsid w:val="00DB0637"/>
    <w:rsid w:val="00DB071D"/>
    <w:rsid w:val="00DB610E"/>
    <w:rsid w:val="00DD1527"/>
    <w:rsid w:val="00DE1363"/>
    <w:rsid w:val="00DF1F2C"/>
    <w:rsid w:val="00E02179"/>
    <w:rsid w:val="00E15ED1"/>
    <w:rsid w:val="00E649B6"/>
    <w:rsid w:val="00E96D36"/>
    <w:rsid w:val="00EB0377"/>
    <w:rsid w:val="00EC0DE7"/>
    <w:rsid w:val="00EC1D8F"/>
    <w:rsid w:val="00EF6BEA"/>
    <w:rsid w:val="00F77FB3"/>
    <w:rsid w:val="00F9253A"/>
    <w:rsid w:val="00FA6BDA"/>
    <w:rsid w:val="00FB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AD24"/>
  <w15:chartTrackingRefBased/>
  <w15:docId w15:val="{D63BC03B-9073-4E69-A825-546B91B3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7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0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4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5</Pages>
  <Words>1700</Words>
  <Characters>9691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Ražanac</dc:creator>
  <cp:keywords/>
  <dc:description/>
  <cp:lastModifiedBy>Općina Ražanac</cp:lastModifiedBy>
  <cp:revision>27</cp:revision>
  <dcterms:created xsi:type="dcterms:W3CDTF">2024-02-08T10:48:00Z</dcterms:created>
  <dcterms:modified xsi:type="dcterms:W3CDTF">2025-10-10T08:26:00Z</dcterms:modified>
</cp:coreProperties>
</file>